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a testament to my expertise in cash flow forecasting and liquidity management, I have successfully improved the financial stability of several organizations by optimizing their treasury operations. At Fortune 500 company, Johnson &amp; Sons Inc., I reduced annual variance in cash flow projections by 25% through the implementation of sophisticated forecasting models and continuous monitoring of market trends. This experience makes me an ideal candidate for the Treasury Analyst role at Meridian Capital.</w:t>
      </w:r>
    </w:p>
    <w:p>
      <w:pPr>
        <w:spacing w:before="0" w:after="160" w:line="280" w:lineRule="exact"/>
        <w:jc w:val="both"/>
      </w:pPr>
      <w:r>
        <w:t>While working as a treasury analyst at Johnson &amp; Sons Inc., I was tasked with managing foreign exchange (FX) exposures for a key client, St. Thomas Hospital. By utilizing advanced FX hedging strategies and closely monitoring market movements, I effectively minimized their currency risks and ensured significant cost savings of $300,000 annually. This case study demonstrates my ability to deliver tangible results in a high-pressure environment.</w:t>
      </w:r>
    </w:p>
    <w:p>
      <w:pPr>
        <w:spacing w:before="0" w:after="160" w:line="280" w:lineRule="exact"/>
        <w:jc w:val="both"/>
      </w:pPr>
      <w:r>
        <w:t>I am excited to bring my unique combination of financial acumen, technical proficiency, and relationship management skills to Meridian Capital. With extensive experience using treasury management systems such as SAP and Oracle, I can streamline processes, improve efficiency, and contribute to the overall success of your organization. I look forward to the opportunity to discuss my qualifications further and demonstrate how I can help Meridian Capital achieve its financial objectives.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