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Leading the charge in carbon reduction strategies, I am a seasoned sustainability professional with a passion for driving organizational transformation towards a sustainable future. My expertise lies in developing comprehensive sustainability reports (GRI, TCFD) that align with global standards, engaging stakeholders effectively, and embedding sustainability across organizations to create long-term value.</w:t>
      </w:r>
    </w:p>
    <w:p>
      <w:pPr>
        <w:spacing w:before="0" w:after="160" w:line="280" w:lineRule="exact"/>
        <w:jc w:val="both"/>
      </w:pPr>
      <w:r>
        <w:t>In my most recent role at Deloitte, I successfully led the implementation of a carbon reduction strategy for one of our key clients, reducing their greenhouse gas emissions by 25%. Additionally, I oversaw the development and publication of a GRI-compliant sustainability report that highlighted the client’s commitment to transparency and environmental responsibility.</w:t>
      </w:r>
    </w:p>
    <w:p>
      <w:pPr>
        <w:spacing w:before="0" w:after="160" w:line="280" w:lineRule="exact"/>
        <w:jc w:val="both"/>
      </w:pPr>
      <w:r>
        <w:t>I am eager to bring my strategic vision, stakeholder engagement skills, and passion for sustainable business practices to your organization. As a Sustainability Manager at St. Mary’s Hospital, I can help you create a sustainable future while improving operational efficiency and building a strong reputation as an environmentally responsible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