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tenure as a Copywriter at TechBrain Inc., I led a rebranding campaign that resulted in a 30% increase in brand awareness and a 25% boost in website traffic within the first six months of implementation. This experience equips me with the strategic acumen necessary to excel in a Senior Copywriter role, where I can apply my expertise in concepting impactful campaigns, aligning brand messaging, and managing junior writers.</w:t>
      </w:r>
    </w:p>
    <w:p>
      <w:pPr>
        <w:spacing w:before="0" w:after="160" w:line="280" w:lineRule="exact"/>
        <w:jc w:val="both"/>
      </w:pPr>
      <w:r>
        <w:t>One project that stands out is the launch of our ‘SmartLife’ campaign for EcoGreen Energy. By focusing on the emotional benefits of sustainable living, we increased lead generation by 40% and drove a 20% increase in sales during the first quarter after the campaign went live. This success demonstrates my ability to create engaging content that resonates with audiences and delivers measurable results.</w:t>
      </w:r>
    </w:p>
    <w:p>
      <w:pPr>
        <w:spacing w:before="0" w:after="160" w:line="280" w:lineRule="exact"/>
        <w:jc w:val="both"/>
      </w:pPr>
      <w:r>
        <w:t>I am particularly drawn to your company, BlueTech Innovations, as it aligns with my passion for leveraging words to drive innovation and sustainability. I am eager to bring my strategic leadership, campaign concepting, and team management skills to a role where they can make a significant impact. I would love the opportunity to discuss how I can contribute to your ongoing success and help shape compelling narratives that resonate with your audience.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