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seasoned immigration lawyer with over 15 years of experience in handling complex visa applications, appeals, deportation defense, and asylum cases, I am confident that my expertise makes me the ideal candidate for the open Immigration Solicitor position at Deloitte. My deep understanding of the intricate nuances of U.S. immigration law, combined with my ability to navigate rapidly evolving regulations, sets me apart as a strategic thinker and results-driven professional.</w:t>
      </w:r>
    </w:p>
    <w:p>
      <w:pPr>
        <w:spacing w:before="0" w:after="160" w:line="280" w:lineRule="exact"/>
        <w:jc w:val="both"/>
      </w:pPr>
      <w:r>
        <w:t>In my current role at St. Mary’s Hospital, I have successfully managed a caseload of over 200 active cases, achieving a success rate of over 95%. One notable achievement includes securing a temporary protected status for a family of four facing imminent deportation due to complicated political circumstances in their home country. This case required extensive research, strategic planning, and relentless advocacy – skills that I am eager to bring to your organization.</w:t>
      </w:r>
    </w:p>
    <w:p>
      <w:pPr>
        <w:spacing w:before="0" w:after="160" w:line="280" w:lineRule="exact"/>
        <w:jc w:val="both"/>
      </w:pPr>
      <w:r>
        <w:t>I am excited about the opportunity to join Deloitte’s dynamic team, where I can leverage my experience and passion for immigration law to make a tangible impact. In addition, I am committed to staying abreast of the latest developments in immigration law and regulations, ensuring that my clients receive the most current and effective representation possible.</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